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1052"/>
      </w:tblGrid>
      <w:tr w:rsidR="00FE5FAD" w:rsidRPr="00160EBC" w:rsidTr="00FA0C34">
        <w:trPr>
          <w:trHeight w:val="1068"/>
        </w:trPr>
        <w:tc>
          <w:tcPr>
            <w:tcW w:w="3960" w:type="dxa"/>
            <w:vAlign w:val="center"/>
          </w:tcPr>
          <w:p w:rsidR="00FE5FAD" w:rsidRPr="00160EBC" w:rsidRDefault="00FE5FAD" w:rsidP="00041E3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836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4356"/>
            </w:tblGrid>
            <w:tr w:rsidR="00FE5FAD" w:rsidRPr="00160EBC" w:rsidTr="00041E3D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FE5FAD" w:rsidRPr="00160EBC" w:rsidRDefault="00FE5FAD" w:rsidP="00041E3D">
                  <w:pPr>
                    <w:keepNext/>
                    <w:autoSpaceDN w:val="0"/>
                    <w:spacing w:after="0" w:line="252" w:lineRule="auto"/>
                    <w:ind w:left="809" w:hanging="383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FE5FAD" w:rsidRPr="00160EBC" w:rsidRDefault="00FE5FAD" w:rsidP="00041E3D">
                  <w:pP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160EBC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095B69" wp14:editId="510497F2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6" w:type="dxa"/>
                  <w:vAlign w:val="center"/>
                  <w:hideMark/>
                </w:tcPr>
                <w:p w:rsidR="00FE5FAD" w:rsidRPr="00160EBC" w:rsidRDefault="00FE5FAD" w:rsidP="00041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FE5FAD" w:rsidRPr="00160EBC" w:rsidTr="00041E3D">
              <w:trPr>
                <w:cantSplit/>
                <w:trHeight w:val="374"/>
              </w:trPr>
              <w:tc>
                <w:tcPr>
                  <w:tcW w:w="10836" w:type="dxa"/>
                  <w:gridSpan w:val="3"/>
                </w:tcPr>
                <w:p w:rsidR="00FE5FAD" w:rsidRPr="00160EBC" w:rsidRDefault="00FE5FAD" w:rsidP="00041E3D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FE5FAD" w:rsidRPr="00160EBC" w:rsidRDefault="00FE5FAD" w:rsidP="00041E3D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FE5FAD" w:rsidRPr="00160EBC" w:rsidRDefault="00FE5FAD" w:rsidP="00041E3D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FE5FAD" w:rsidRPr="00160EBC" w:rsidRDefault="00FE5FAD" w:rsidP="00041E3D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FE5FAD" w:rsidRPr="00160EBC" w:rsidRDefault="00FE5FAD" w:rsidP="00041E3D">
                  <w:pP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E5FAD" w:rsidRPr="00160EBC" w:rsidRDefault="00FE5FAD" w:rsidP="00041E3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4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5FAD" w:rsidRPr="00160EBC" w:rsidTr="00FA0C34">
        <w:trPr>
          <w:cantSplit/>
          <w:trHeight w:val="374"/>
        </w:trPr>
        <w:tc>
          <w:tcPr>
            <w:tcW w:w="10980" w:type="dxa"/>
          </w:tcPr>
          <w:p w:rsidR="00FE5FAD" w:rsidRPr="00160EBC" w:rsidRDefault="00FE5FAD" w:rsidP="00041E3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FE5FAD" w:rsidRPr="00160EBC" w:rsidRDefault="00FE5FAD" w:rsidP="00041E3D">
      <w:pPr>
        <w:ind w:left="426"/>
      </w:pPr>
    </w:p>
    <w:p w:rsidR="00FE5FAD" w:rsidRPr="00160EBC" w:rsidRDefault="00FE5FAD" w:rsidP="00041E3D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686E">
        <w:rPr>
          <w:rFonts w:ascii="Times New Roman" w:hAnsi="Times New Roman" w:cs="Times New Roman"/>
          <w:sz w:val="28"/>
          <w:szCs w:val="28"/>
        </w:rPr>
        <w:t>6</w:t>
      </w:r>
      <w:r w:rsidRPr="00160EBC">
        <w:rPr>
          <w:rFonts w:ascii="Times New Roman" w:hAnsi="Times New Roman" w:cs="Times New Roman"/>
          <w:sz w:val="28"/>
          <w:szCs w:val="28"/>
        </w:rPr>
        <w:t xml:space="preserve">» марта 2021 года                                                                   </w:t>
      </w:r>
      <w:r w:rsidR="008D586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60EBC"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FE5FAD" w:rsidRPr="00160EBC" w:rsidRDefault="00FE5FAD" w:rsidP="00041E3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5FAD" w:rsidRPr="00160EBC" w:rsidRDefault="00FE5FAD" w:rsidP="00041E3D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Песчаного</w:t>
      </w:r>
      <w:r w:rsidRPr="00160EBC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за 2020 год</w:t>
      </w:r>
    </w:p>
    <w:p w:rsidR="00FE5FAD" w:rsidRPr="00160EBC" w:rsidRDefault="00FE5FAD" w:rsidP="00041E3D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FE5FAD" w:rsidRPr="00160EBC" w:rsidRDefault="00FE5FAD" w:rsidP="00041E3D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FE5FAD" w:rsidRPr="00160EBC" w:rsidRDefault="00FE5FAD" w:rsidP="00041E3D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FE5FAD" w:rsidRPr="00160EBC" w:rsidRDefault="00FE5FAD" w:rsidP="00041E3D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FE5FAD" w:rsidRPr="00160EBC" w:rsidRDefault="00FE5FAD" w:rsidP="00041E3D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«Об утверждении отчета об </w:t>
      </w:r>
      <w:proofErr w:type="gramStart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исполнении  муниципального</w:t>
      </w:r>
      <w:proofErr w:type="gram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FE5FAD" w:rsidRPr="00160EBC" w:rsidRDefault="00FE5FAD" w:rsidP="00041E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FE5FAD" w:rsidRPr="00160EBC" w:rsidRDefault="00FE5FAD" w:rsidP="00041E3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FAD" w:rsidRPr="00160EBC" w:rsidRDefault="00FE5FAD" w:rsidP="00041E3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5FAD" w:rsidRPr="00160EBC" w:rsidRDefault="00FE5FAD" w:rsidP="00041E3D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лмыкия за 2020 год»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Бюджетным кодексом Российской Федерации, Положения «О бюджетном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образовании Республики Калмыкия», </w:t>
      </w:r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соглашения о передаче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</w:t>
      </w:r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>образования Республики Калмыкия  полномочий по осуществлению внешнего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</w:t>
      </w:r>
      <w:r w:rsidR="008D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ципальным имуществом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от 14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.01.2019 года, Положения о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№3, планом работы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№17 года и иными нормативно-правовыми актами.</w:t>
      </w:r>
    </w:p>
    <w:p w:rsidR="00FE5FAD" w:rsidRPr="00160EBC" w:rsidRDefault="00FE5FAD" w:rsidP="008D586B">
      <w:pPr>
        <w:widowControl w:val="0"/>
        <w:spacing w:after="0" w:line="240" w:lineRule="auto"/>
        <w:ind w:left="42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2020 год представлен в срок, установленный Бюджетным кодексом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РФ.</w:t>
      </w:r>
    </w:p>
    <w:p w:rsidR="00FE5FAD" w:rsidRPr="00160EBC" w:rsidRDefault="00FE5FAD" w:rsidP="00041E3D">
      <w:pPr>
        <w:widowControl w:val="0"/>
        <w:spacing w:after="0" w:line="274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E5FAD" w:rsidRPr="00160EBC" w:rsidRDefault="00FE5FAD" w:rsidP="00041E3D">
      <w:pPr>
        <w:widowControl w:val="0"/>
        <w:spacing w:after="0" w:line="274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FE5FAD" w:rsidRPr="00160EBC" w:rsidRDefault="00FE5FAD" w:rsidP="005B76C2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FE5FAD" w:rsidRPr="00160EBC" w:rsidRDefault="00FE5FAD" w:rsidP="005B76C2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FE5FAD" w:rsidRPr="00160EBC" w:rsidRDefault="00FE5FAD" w:rsidP="005B76C2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FE5FAD" w:rsidRPr="00160EBC" w:rsidRDefault="00FE5FAD" w:rsidP="005B76C2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FE5FAD" w:rsidRPr="00160EBC" w:rsidRDefault="00FE5FAD" w:rsidP="005B76C2">
      <w:pPr>
        <w:widowControl w:val="0"/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E5FAD" w:rsidRDefault="00FE5FAD" w:rsidP="005B76C2">
      <w:pPr>
        <w:widowControl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Песчаного сельского </w:t>
      </w: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Республики Калмыкия за 2020год.</w:t>
      </w:r>
    </w:p>
    <w:p w:rsidR="005B76C2" w:rsidRDefault="005B76C2" w:rsidP="005B76C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2093" w:rsidRDefault="00E42093" w:rsidP="005B76C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представленного на экспертизу проекта, в 2020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Песчаного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Республики Калмыкия поступило доходов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3159,1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по сравнению с 2019 годом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801,8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2093" w:rsidRDefault="00E42093" w:rsidP="005B76C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общая сумма доходов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2357,3 тысяч рублей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сравнительного анализа по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оходам представлены в табли</w:t>
      </w:r>
      <w:r w:rsidR="00D562B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B7381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№1</w:t>
      </w:r>
      <w:r w:rsidR="00D5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562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D562B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D562BD" w:rsidRDefault="00D562BD" w:rsidP="00041E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BD">
        <w:rPr>
          <w:noProof/>
          <w:lang w:eastAsia="ru-RU"/>
        </w:rPr>
        <w:lastRenderedPageBreak/>
        <w:drawing>
          <wp:inline distT="0" distB="0" distL="0" distR="0">
            <wp:extent cx="5940425" cy="2372897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25" w:rsidRDefault="000C1525" w:rsidP="00041E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3D" w:rsidRDefault="00741D3D" w:rsidP="000C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3D" w:rsidRDefault="000C1525" w:rsidP="00741D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Песчаного СМО Республики Калмыкия за 2020 год поступило налоговых и неналоговых доходов в сумме 1 702,2 тыс. рублей, что по сравнению с 2019 годом меньше на 256,7 тыс. рублей. Данные сравнительного </w:t>
      </w:r>
      <w:r w:rsidR="00741D3D"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по налоговым и неналоговым доходам представлены в таблице</w:t>
      </w:r>
      <w:r w:rsidR="0074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1D3D"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4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D3D" w:rsidRDefault="00741D3D" w:rsidP="00741D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020" w:type="dxa"/>
        <w:tblInd w:w="93" w:type="dxa"/>
        <w:tblLook w:val="04A0" w:firstRow="1" w:lastRow="0" w:firstColumn="1" w:lastColumn="0" w:noHBand="0" w:noVBand="1"/>
      </w:tblPr>
      <w:tblGrid>
        <w:gridCol w:w="18020"/>
      </w:tblGrid>
      <w:tr w:rsidR="00741D3D" w:rsidRPr="000577B2" w:rsidTr="00FA0C34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3D" w:rsidRPr="000577B2" w:rsidRDefault="00741D3D" w:rsidP="00FA0C34">
            <w:pPr>
              <w:rPr>
                <w:b/>
                <w:bCs/>
              </w:rPr>
            </w:pPr>
            <w:r w:rsidRPr="000577B2">
              <w:rPr>
                <w:b/>
                <w:bCs/>
              </w:rPr>
              <w:t xml:space="preserve">                                                                                             Сравнительный анализ исполнения</w:t>
            </w:r>
          </w:p>
        </w:tc>
      </w:tr>
      <w:tr w:rsidR="00741D3D" w:rsidRPr="000577B2" w:rsidTr="00FA0C34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3D" w:rsidRPr="000577B2" w:rsidRDefault="00741D3D" w:rsidP="00FA0C34">
            <w:pPr>
              <w:tabs>
                <w:tab w:val="left" w:pos="14649"/>
              </w:tabs>
              <w:rPr>
                <w:b/>
                <w:bCs/>
              </w:rPr>
            </w:pPr>
            <w:r w:rsidRPr="000577B2">
              <w:rPr>
                <w:b/>
                <w:bCs/>
              </w:rPr>
              <w:t xml:space="preserve">                                                           налоговых и неналоговых доходов  бюджета Песчаного СМО РК</w:t>
            </w:r>
          </w:p>
        </w:tc>
      </w:tr>
      <w:tr w:rsidR="00741D3D" w:rsidRPr="000577B2" w:rsidTr="00FA0C34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3D" w:rsidRPr="000577B2" w:rsidRDefault="00043596" w:rsidP="00043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="00741D3D" w:rsidRPr="000577B2">
              <w:rPr>
                <w:b/>
                <w:bCs/>
              </w:rPr>
              <w:t xml:space="preserve">за </w:t>
            </w:r>
            <w:r w:rsidR="00741D3D">
              <w:rPr>
                <w:b/>
                <w:bCs/>
              </w:rPr>
              <w:t>2020</w:t>
            </w:r>
            <w:r w:rsidR="00741D3D" w:rsidRPr="000577B2">
              <w:rPr>
                <w:b/>
                <w:bCs/>
              </w:rPr>
              <w:t xml:space="preserve"> год</w:t>
            </w:r>
          </w:p>
          <w:tbl>
            <w:tblPr>
              <w:tblW w:w="11524" w:type="dxa"/>
              <w:tblLook w:val="04A0" w:firstRow="1" w:lastRow="0" w:firstColumn="1" w:lastColumn="0" w:noHBand="0" w:noVBand="1"/>
            </w:tblPr>
            <w:tblGrid>
              <w:gridCol w:w="1480"/>
              <w:gridCol w:w="880"/>
              <w:gridCol w:w="911"/>
              <w:gridCol w:w="782"/>
              <w:gridCol w:w="992"/>
              <w:gridCol w:w="1134"/>
              <w:gridCol w:w="851"/>
              <w:gridCol w:w="1482"/>
              <w:gridCol w:w="863"/>
              <w:gridCol w:w="1430"/>
              <w:gridCol w:w="719"/>
            </w:tblGrid>
            <w:tr w:rsidR="00F868DA" w:rsidRPr="00394790" w:rsidTr="0039772D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Налоги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 2019г.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 2020г.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 2019г.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868D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 2020г.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868DA" w:rsidRPr="00394790" w:rsidTr="0039772D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94790">
                    <w:rPr>
                      <w:b/>
                      <w:bCs/>
                    </w:rPr>
                    <w:t>поступ</w:t>
                  </w:r>
                  <w:proofErr w:type="spellEnd"/>
                  <w:r w:rsidRPr="0039479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94790">
                    <w:rPr>
                      <w:b/>
                      <w:bCs/>
                    </w:rPr>
                    <w:t>поступ</w:t>
                  </w:r>
                  <w:proofErr w:type="spellEnd"/>
                  <w:r w:rsidRPr="0039479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2019 к 2020 (</w:t>
                  </w:r>
                  <w:proofErr w:type="spellStart"/>
                  <w:r>
                    <w:rPr>
                      <w:b/>
                      <w:bCs/>
                    </w:rPr>
                    <w:t>поступ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D1451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D14510">
                    <w:rPr>
                      <w:b/>
                      <w:bCs/>
                    </w:rPr>
                    <w:t>поступления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2020</w:t>
                  </w:r>
                  <w:r w:rsidRPr="00D14510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F868DA" w:rsidRPr="00394790" w:rsidTr="0039772D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Доходы всего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1 993,1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1 958,9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1 596,0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1 702,2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7C6BE1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 w:rsidRPr="007C6BE1">
                    <w:rPr>
                      <w:b/>
                    </w:rPr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-397,1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-256,7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106,2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НДФЛ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92,5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97,0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110,1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106,6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96,8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17,6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9,6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-3,5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 xml:space="preserve">Налог на имущество </w:t>
                  </w:r>
                  <w:proofErr w:type="spellStart"/>
                  <w:r w:rsidRPr="00394790">
                    <w:t>физ.лиц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51,0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60,3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38,0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42,6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70,6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-13,0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-17,7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4,6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ЕСХН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935,4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356,1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38,1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422,9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600,9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-512,5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244,8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178,0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ЕНВД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Гос. пошлина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Земельный налог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914,2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1 445,5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1 025,0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951,5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92,8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65,8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110,8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-494,0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  <w:r>
                    <w:t>-73,5</w:t>
                  </w: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lastRenderedPageBreak/>
                    <w:t>Доходы от сдачи в аренду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D1451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им-</w:t>
                  </w:r>
                  <w:proofErr w:type="spellStart"/>
                  <w:r w:rsidRPr="00394790">
                    <w:t>ва</w:t>
                  </w:r>
                  <w:proofErr w:type="spellEnd"/>
                  <w:r w:rsidRPr="00394790">
                    <w:t xml:space="preserve">, нах. в </w:t>
                  </w:r>
                  <w:proofErr w:type="spellStart"/>
                  <w:r w:rsidRPr="00394790">
                    <w:t>мун</w:t>
                  </w:r>
                  <w:proofErr w:type="spellEnd"/>
                  <w:r w:rsidRPr="00394790">
                    <w:t xml:space="preserve">. </w:t>
                  </w:r>
                  <w:proofErr w:type="spellStart"/>
                  <w:r w:rsidRPr="00394790">
                    <w:t>собст-ти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 xml:space="preserve">Платежи за </w:t>
                  </w:r>
                  <w:proofErr w:type="spellStart"/>
                  <w:r w:rsidRPr="00394790">
                    <w:t>пол-е</w:t>
                  </w:r>
                  <w:proofErr w:type="spellEnd"/>
                  <w:r w:rsidRPr="00394790">
                    <w:t xml:space="preserve"> </w:t>
                  </w:r>
                  <w:proofErr w:type="spellStart"/>
                  <w:r w:rsidRPr="00394790">
                    <w:t>прир</w:t>
                  </w:r>
                  <w:proofErr w:type="spellEnd"/>
                  <w:r w:rsidRPr="00394790">
                    <w:t xml:space="preserve">. </w:t>
                  </w:r>
                  <w:proofErr w:type="spellStart"/>
                  <w:r w:rsidRPr="00394790">
                    <w:t>рес</w:t>
                  </w:r>
                  <w:proofErr w:type="spellEnd"/>
                  <w:r w:rsidRPr="00394790">
                    <w:t>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Доходы от оказания платных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 xml:space="preserve">услуг и компенсации затрат </w:t>
                  </w:r>
                  <w:proofErr w:type="spellStart"/>
                  <w:r w:rsidRPr="00394790">
                    <w:t>го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 xml:space="preserve">Доходы от </w:t>
                  </w:r>
                  <w:proofErr w:type="spellStart"/>
                  <w:r w:rsidRPr="00394790">
                    <w:t>прод</w:t>
                  </w:r>
                  <w:proofErr w:type="spellEnd"/>
                  <w:r w:rsidRPr="00394790">
                    <w:t>. мат активов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</w:p>
              </w:tc>
            </w:tr>
            <w:tr w:rsidR="00F868DA" w:rsidRPr="00394790" w:rsidTr="0039772D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 w:rsidRPr="00394790">
                    <w:t>Штрафные санкции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D3D" w:rsidRPr="00394790" w:rsidRDefault="00741D3D" w:rsidP="00FA0C34">
                  <w:pPr>
                    <w:jc w:val="center"/>
                  </w:pPr>
                  <w:r>
                    <w:t>0,6</w:t>
                  </w:r>
                </w:p>
              </w:tc>
            </w:tr>
          </w:tbl>
          <w:p w:rsidR="00741D3D" w:rsidRPr="000577B2" w:rsidRDefault="00741D3D" w:rsidP="00FA0C34">
            <w:pPr>
              <w:jc w:val="center"/>
              <w:rPr>
                <w:b/>
                <w:bCs/>
              </w:rPr>
            </w:pPr>
          </w:p>
        </w:tc>
      </w:tr>
    </w:tbl>
    <w:p w:rsidR="00741D3D" w:rsidRDefault="00741D3D" w:rsidP="00741D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3D" w:rsidRDefault="00741D3D" w:rsidP="00741D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E3D" w:rsidRDefault="00041E3D" w:rsidP="000C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E3D" w:rsidRDefault="00041E3D" w:rsidP="000C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25" w:rsidRPr="000C1525" w:rsidRDefault="000C1525" w:rsidP="000C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доходов муниципального бюджета Песчаного СМО РК за 2019 год такова:</w:t>
      </w:r>
    </w:p>
    <w:p w:rsidR="00E95807" w:rsidRDefault="000C1525" w:rsidP="00E958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доходы 1 958,9</w:t>
      </w:r>
      <w:r w:rsidRPr="000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83,1 % от общего объема поступлений или </w:t>
      </w:r>
      <w:r w:rsidRPr="00E9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86,9</w:t>
      </w:r>
      <w:r w:rsidR="008D586B" w:rsidRPr="00E9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уровню </w:t>
      </w:r>
      <w:r w:rsidR="00E9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года.</w:t>
      </w:r>
    </w:p>
    <w:p w:rsidR="00E95807" w:rsidRDefault="00E95807" w:rsidP="008D5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07" w:rsidRDefault="00E95807" w:rsidP="00E9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07" w:rsidRDefault="00E95807" w:rsidP="008D5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07" w:rsidRDefault="00E95807" w:rsidP="008D5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5199"/>
        <w:gridCol w:w="2637"/>
      </w:tblGrid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182 1 00 00000 00 0000 000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1 702 226,49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182 1 01 00000 00 0000 000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106 600,64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доходы физических л</w:t>
            </w: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иц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ind w:right="70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106 600,64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182 1 01 02010 01 0000 110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104 860,21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182 1 01 02030 01 0000 110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1 740,43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182 1 05 00000 00 0000 000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600 870,52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182 1 05 03000 0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600 870,52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182 1 05 03010 01 0000 110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600 870,52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 w:rsidRPr="006B39FD"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182 1 05 03020 01 0000 110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182 1 06 00000 00 0000 000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994 155,33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 физических лиц, взимаемый по ставкам, применяемым к объектам налогообложения , расположенными в границах поселений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42 681,39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Земельный налог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182 1 06 06000 00 0000 110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951 473,94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182 1 06 060 33 10 0000 110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65 309,01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182 1 06 060 43 10 0000 110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 xml:space="preserve">886 164,93 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850 1 0804020 01 0000 110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636 1 16 00000 00 0000 000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636 1 16 02020 02 0000 140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850 2 00 00000 00 0000 000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1 456 900,00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850 2 02 00000 00 0000 000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1 353 200,00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850 2 02 10000 00 0000 150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565 600,00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850 2 02 15001 10 0000 150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565 600,00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850 2 02 01003 10 0000 150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850 2 02 20000 00 0000 000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696 200,00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850 2 02 29999 05 0000 150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696 200,00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850 2 02 03000 00 0000 150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91 400,00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35118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91 400,00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850 2 02 04000 00 0000 150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B39FD" w:rsidRPr="006B39FD" w:rsidTr="007B50C1">
        <w:trPr>
          <w:trHeight w:val="448"/>
        </w:trPr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 на рынке труда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tabs>
                <w:tab w:val="left" w:pos="79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850 2 02 0402</w:t>
            </w:r>
            <w:r w:rsidRPr="006B39F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 xml:space="preserve"> 10 0000 150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39FD" w:rsidRPr="006B39FD" w:rsidTr="007B50C1">
        <w:trPr>
          <w:trHeight w:val="448"/>
        </w:trPr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,Прочие безвозмездные поступления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850 2 07 00000 00 0000 000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103 700,00</w:t>
            </w:r>
          </w:p>
        </w:tc>
      </w:tr>
      <w:tr w:rsidR="006B39FD" w:rsidRPr="006B39FD" w:rsidTr="007B50C1">
        <w:trPr>
          <w:trHeight w:val="448"/>
        </w:trPr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850 2 0705020 10 0000 180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23 700,00</w:t>
            </w:r>
          </w:p>
        </w:tc>
      </w:tr>
      <w:tr w:rsidR="006B39FD" w:rsidRPr="006B39FD" w:rsidTr="007B50C1">
        <w:trPr>
          <w:trHeight w:val="448"/>
        </w:trPr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850 2 0705030 10 0000 180</w:t>
            </w: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6B39FD" w:rsidRPr="006B39FD" w:rsidTr="007B50C1">
        <w:tc>
          <w:tcPr>
            <w:tcW w:w="235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5199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7" w:type="dxa"/>
          </w:tcPr>
          <w:p w:rsidR="006B39FD" w:rsidRPr="006B39FD" w:rsidRDefault="006B39FD" w:rsidP="006B39F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FD">
              <w:rPr>
                <w:rFonts w:ascii="Times New Roman" w:eastAsia="Times New Roman" w:hAnsi="Times New Roman" w:cs="Times New Roman"/>
                <w:b/>
                <w:lang w:eastAsia="ru-RU"/>
              </w:rPr>
              <w:t>3 159 126,49</w:t>
            </w:r>
          </w:p>
        </w:tc>
      </w:tr>
    </w:tbl>
    <w:p w:rsidR="006B39FD" w:rsidRPr="000C1525" w:rsidRDefault="006B39FD" w:rsidP="000C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25" w:rsidRDefault="000C1525" w:rsidP="000C1525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93" w:rsidRPr="00160EBC" w:rsidRDefault="00E42093" w:rsidP="00FE5FA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6674" w:type="dxa"/>
        <w:tblLook w:val="04A0" w:firstRow="1" w:lastRow="0" w:firstColumn="1" w:lastColumn="0" w:noHBand="0" w:noVBand="1"/>
      </w:tblPr>
      <w:tblGrid>
        <w:gridCol w:w="10033"/>
        <w:gridCol w:w="1843"/>
        <w:gridCol w:w="1870"/>
        <w:gridCol w:w="1542"/>
        <w:gridCol w:w="1405"/>
      </w:tblGrid>
      <w:tr w:rsidR="00041E3D" w:rsidRPr="00041E3D" w:rsidTr="00E95807">
        <w:trPr>
          <w:trHeight w:val="255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C8B" w:rsidRPr="00160EBC" w:rsidRDefault="00E44C8B" w:rsidP="00E44C8B">
            <w:pPr>
              <w:widowControl w:val="0"/>
              <w:spacing w:after="0" w:line="274" w:lineRule="exact"/>
              <w:ind w:left="-284" w:firstLine="10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EB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  <w:p w:rsidR="00E44C8B" w:rsidRPr="00160EBC" w:rsidRDefault="00E44C8B" w:rsidP="00E44C8B">
            <w:pPr>
              <w:widowControl w:val="0"/>
              <w:spacing w:after="0" w:line="274" w:lineRule="exact"/>
              <w:ind w:left="-284" w:firstLine="10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8B" w:rsidRPr="00E44C8B" w:rsidRDefault="00E44C8B" w:rsidP="00E95807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поступлений </w:t>
            </w:r>
            <w:r w:rsidRPr="00E4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4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доходы физических лиц</w:t>
            </w:r>
            <w:r w:rsidRPr="00E44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составила 106,6 тыс. руб. или 96,8% от утвержденных бюджетных назначений в сумме 110,1 тыс. рублей, что на 9,6 тыс. рублей больше по сравнению с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годом. Удельный вес в общей сумме налоговых и неналоговых доходов данный вид налога составляет 3,4%</w:t>
            </w:r>
            <w:r w:rsid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95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Данный вид налога является одним из главных источником пополнения консолидированного бюджета Песчаного СМО РК, но в бюджет СМО поступает только 5 % этого вида налога. Это один из основных бюджет образующих налогов, способствующий росту налоговых поступлений за счет увеличения заработной платы работников бюджетной сферы, повышения качества администрирования, при этом нельзя забывать и о социальных выплатах, которые косвенно влияют на увеличение размера налоговых поступлений. 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налогу на доходы физических лиц Правительством РФ предусмотрено сохранение в 2020 году социальных вычетов при исчислении налога и действующей ставки в размере 13%. </w:t>
            </w:r>
          </w:p>
          <w:p w:rsidR="00E44C8B" w:rsidRPr="00E44C8B" w:rsidRDefault="00E44C8B" w:rsidP="00E44C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E4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единый сельскохозяйственный налог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2020 год поступление которого составил</w:t>
            </w:r>
            <w:r w:rsidR="00F7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600,9 тыс. рублей или более 100%</w:t>
            </w:r>
            <w:r w:rsidR="00F7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плановых назначений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сравнению с 2019 годом больше на 244,8 тыс. рублей. В 2019 году данный вид налог составил 356,1 тыс. рублей.</w:t>
            </w:r>
            <w:r w:rsidRPr="00E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и 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      </w:r>
          </w:p>
          <w:p w:rsidR="00E44C8B" w:rsidRDefault="00E44C8B" w:rsidP="00E44C8B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доходы, получаемые в виде арендной платы за земельные участки</w:t>
            </w:r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2020 год составили 0,0 тыс. рублей, в связи с тем, что арендная плата поступает в размере 100% в бюджет РМО с 01 января 2015 года. До настоящего времени в бюджет Песчаного СМО не поступила арендная плата от ООО «</w:t>
            </w:r>
            <w:proofErr w:type="spellStart"/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Алтэн</w:t>
            </w:r>
            <w:proofErr w:type="spellEnd"/>
            <w:r w:rsidRPr="00E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4 квартал 2014 года в сумме 221 тыс. рублей.</w:t>
            </w:r>
          </w:p>
          <w:p w:rsidR="00E95807" w:rsidRDefault="00E9580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2020 год в муниципальный бюджет Песчаного СМО РК поступили средства в качестве безвозмездных поступлений в сумме 1 353,2 тыс. рублей, что составляет более 100,0% к исполнению за аналогичный период 2019 года или больше на 954,8 тыс. рублей</w:t>
            </w: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Исполнение за 2019 года составляло в сумме 398,4 тыс. рублей.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поступили в сумме 565,6 тыс. рублей или больше на 167,2 тыс. рублей исполнения за 2019 год</w:t>
            </w: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Исполнение за 2019 год составляло в сумме 314,2 тыс. рублей. Дотация бюджетам поселений на поддержку мер по обеспечению сбалансированности бюджетов составила 0,00 </w:t>
            </w:r>
            <w:proofErr w:type="spellStart"/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дотация не поступала за аналогичный период прошлого года.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за 2020 года в сумме 91,4 тыс. рублей поступили в бюджет Песчаного СМО</w:t>
            </w: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Исполнение за 2019 года составляло в сумме 84,2 тыс. рублей. 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поселения за 2020 год в сумме 696,2 тыс. рублей. Поступили в бюджет Песчаного СМО</w:t>
            </w: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Исполнение за 2019 года составляло в сумме 0,0 тыс. рублей.</w:t>
            </w:r>
          </w:p>
          <w:p w:rsidR="007B50C1" w:rsidRDefault="007B50C1" w:rsidP="007B50C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50C1" w:rsidRDefault="007B50C1" w:rsidP="007B50C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7B50C1" w:rsidRDefault="00075227" w:rsidP="007B50C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муниципального бюджета</w:t>
            </w:r>
            <w:r w:rsidR="007B5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75227" w:rsidRDefault="00075227" w:rsidP="00075227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5227" w:rsidRDefault="00075227" w:rsidP="00075227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5227" w:rsidRDefault="00075227" w:rsidP="00075227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5227" w:rsidRDefault="00075227" w:rsidP="00075227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0"/>
              <w:gridCol w:w="2273"/>
              <w:gridCol w:w="2154"/>
            </w:tblGrid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273" w:type="dxa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 xml:space="preserve">Код раздела и подраздела бюджетной классификации </w:t>
                  </w:r>
                </w:p>
              </w:tc>
              <w:tc>
                <w:tcPr>
                  <w:tcW w:w="2154" w:type="dxa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Кассовое исполнение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  <w:rPr>
                      <w:b/>
                    </w:rPr>
                  </w:pPr>
                  <w:r w:rsidRPr="00976D4F">
                    <w:rPr>
                      <w:b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2273" w:type="dxa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0100</w:t>
                  </w:r>
                </w:p>
              </w:tc>
              <w:tc>
                <w:tcPr>
                  <w:tcW w:w="2154" w:type="dxa"/>
                </w:tcPr>
                <w:p w:rsidR="00075227" w:rsidRPr="00976D4F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1 693 780,97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0B664C" w:rsidRDefault="00075227" w:rsidP="00075227">
                  <w:pPr>
                    <w:jc w:val="both"/>
                  </w:pPr>
                  <w:r>
                    <w:t xml:space="preserve">Функционирование высшего должностного лица субъекта РФ и муниципального образования </w:t>
                  </w:r>
                </w:p>
              </w:tc>
              <w:tc>
                <w:tcPr>
                  <w:tcW w:w="2273" w:type="dxa"/>
                </w:tcPr>
                <w:p w:rsidR="00075227" w:rsidRPr="000B664C" w:rsidRDefault="00075227" w:rsidP="00075227">
                  <w:pPr>
                    <w:jc w:val="center"/>
                  </w:pPr>
                  <w:r w:rsidRPr="000B664C">
                    <w:t>0102</w:t>
                  </w:r>
                </w:p>
              </w:tc>
              <w:tc>
                <w:tcPr>
                  <w:tcW w:w="2154" w:type="dxa"/>
                </w:tcPr>
                <w:p w:rsidR="00075227" w:rsidRPr="000B664C" w:rsidRDefault="00075227" w:rsidP="00075227">
                  <w:pPr>
                    <w:jc w:val="right"/>
                  </w:pPr>
                  <w:r>
                    <w:t>491 105,91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 w:rsidRPr="00976D4F"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0104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1 142 675,06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>
                    <w:t>Обеспечение проведения выборов и референдумов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>
                    <w:t>0107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Default="00075227" w:rsidP="00075227">
                  <w:pPr>
                    <w:jc w:val="right"/>
                  </w:pPr>
                  <w:r>
                    <w:t>60 000,00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D00B88" w:rsidRDefault="00075227" w:rsidP="00075227">
                  <w:pPr>
                    <w:jc w:val="both"/>
                    <w:rPr>
                      <w:b/>
                    </w:rPr>
                  </w:pPr>
                  <w:r w:rsidRPr="00D00B88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D00B88" w:rsidRDefault="00075227" w:rsidP="000752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D00B88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91 400,00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 w:rsidRPr="00976D4F">
                    <w:t>Национальная оборона, мобилизационная и вневойсковая подготовка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0203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91 400,00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  <w:rPr>
                      <w:b/>
                    </w:rPr>
                  </w:pPr>
                  <w:r w:rsidRPr="00976D4F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0300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66 430,00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 w:rsidRPr="00976D4F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0309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66 430,00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  <w:rPr>
                      <w:b/>
                    </w:rPr>
                  </w:pPr>
                  <w:r w:rsidRPr="00976D4F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0400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>
                    <w:t>Дорожная деятельность (</w:t>
                  </w:r>
                  <w:proofErr w:type="spellStart"/>
                  <w:r>
                    <w:t>муниц.программа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040</w:t>
                  </w:r>
                  <w:r>
                    <w:t>9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D00B88" w:rsidRDefault="00075227" w:rsidP="00075227">
                  <w:pPr>
                    <w:jc w:val="both"/>
                    <w:rPr>
                      <w:b/>
                    </w:rPr>
                  </w:pPr>
                  <w:r w:rsidRPr="00D00B88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D00B88" w:rsidRDefault="00075227" w:rsidP="000752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D00B88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186 671,44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 w:rsidRPr="00976D4F">
                    <w:t>Жилищно-коммунальное хозяйство, благоустройство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0503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186 671,44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  <w:rPr>
                      <w:b/>
                    </w:rPr>
                  </w:pPr>
                  <w:r w:rsidRPr="00976D4F"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  <w:r w:rsidRPr="00976D4F">
                    <w:rPr>
                      <w:b/>
                    </w:rPr>
                    <w:t>0800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1 243 484,65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 w:rsidRPr="00976D4F">
                    <w:t>Культура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 w:rsidRPr="00976D4F">
                    <w:t>0801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</w:pPr>
                  <w:r>
                    <w:t>1 243 484,65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30AB8" w:rsidRDefault="00075227" w:rsidP="00075227">
                  <w:pPr>
                    <w:jc w:val="both"/>
                    <w:rPr>
                      <w:b/>
                    </w:rPr>
                  </w:pPr>
                  <w:r w:rsidRPr="00930AB8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30AB8" w:rsidRDefault="00075227" w:rsidP="000752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Pr="00930AB8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</w:pPr>
                  <w:r>
                    <w:t>Социальная политика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</w:pPr>
                  <w:r>
                    <w:t>1003</w:t>
                  </w:r>
                </w:p>
              </w:tc>
              <w:tc>
                <w:tcPr>
                  <w:tcW w:w="2154" w:type="dxa"/>
                  <w:vAlign w:val="center"/>
                </w:tcPr>
                <w:p w:rsidR="00075227" w:rsidRDefault="00075227" w:rsidP="00075227">
                  <w:pPr>
                    <w:jc w:val="right"/>
                  </w:pPr>
                  <w:r>
                    <w:t>0,00</w:t>
                  </w:r>
                </w:p>
              </w:tc>
            </w:tr>
            <w:tr w:rsidR="00075227" w:rsidRPr="00976D4F" w:rsidTr="00FA0C34">
              <w:tc>
                <w:tcPr>
                  <w:tcW w:w="5380" w:type="dxa"/>
                </w:tcPr>
                <w:p w:rsidR="00075227" w:rsidRPr="00976D4F" w:rsidRDefault="00075227" w:rsidP="00075227">
                  <w:pPr>
                    <w:jc w:val="both"/>
                    <w:rPr>
                      <w:b/>
                    </w:rPr>
                  </w:pPr>
                  <w:r w:rsidRPr="00976D4F">
                    <w:rPr>
                      <w:b/>
                    </w:rPr>
                    <w:t>Итого расходов</w:t>
                  </w:r>
                </w:p>
              </w:tc>
              <w:tc>
                <w:tcPr>
                  <w:tcW w:w="2273" w:type="dxa"/>
                  <w:vAlign w:val="center"/>
                </w:tcPr>
                <w:p w:rsidR="00075227" w:rsidRPr="00976D4F" w:rsidRDefault="00075227" w:rsidP="0007522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:rsidR="00075227" w:rsidRPr="00976D4F" w:rsidRDefault="00075227" w:rsidP="000752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3 281 767,06</w:t>
                  </w:r>
                </w:p>
              </w:tc>
            </w:tr>
          </w:tbl>
          <w:p w:rsidR="00075227" w:rsidRPr="00075227" w:rsidRDefault="00075227" w:rsidP="0007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сумма расходов муниципального бюджета Песчаного СМО РК за 2020 год составила 3 281,8 тыс. рублей, из них: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общегосударственные расходы в сумме 1 693,8 тыс. рублей (51,6%);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-национальная оборона в сумме 91,4 тыс. рублей (2,8%);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-национальная безопасность и правоохранительная деятельность в сумме 66,4 тыс. рублей (2,0%);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-благоустройство в сумме 186,7 тыс. рублей (5,7%);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культура, кинематография в сумме тыс. рублей 1 243,5 (37,9%);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общей суммы расходов израсходовано: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заработную плату в сумме 826,9 тыс. рублей (25,2%);</w:t>
            </w:r>
          </w:p>
          <w:p w:rsidR="00075227" w:rsidRPr="00075227" w:rsidRDefault="00075227" w:rsidP="0007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- начисления на выплаты по оплате труда в сумме 246,1 тыс. рублей (7,5%);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другие расходы в сумме 2 208,8 тыс. рублей.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сравнении с исполнением бюджета за 2019 года произошло увеличение расходов на 772,0 тыс. рублей. </w:t>
            </w:r>
          </w:p>
          <w:p w:rsidR="00075227" w:rsidRPr="00075227" w:rsidRDefault="00075227" w:rsidP="00075227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функциональной структуре расходов исполнение бюджета сложилось следующим образом.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0100 «Общегосударственные вопросы»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разделу произошло увеличение расходов на 737,5 тыс. рублей (в связи с проведением выборов на сумму 60,0 тыс. рублей; с увеличением заработной платы на 0,5% по главе и аппарату на 290,6 тыс. рублей; приобретение ноутбука на сумму 32,5 тыс. рублей; покупка канц. товаров, хоз. товаров и </w:t>
            </w:r>
            <w:proofErr w:type="spellStart"/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запч</w:t>
            </w:r>
            <w:proofErr w:type="spellEnd"/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машины на сумму 128,0 тыс. рублей; программное обеспечение на сумму 41,1 тыс. рублей; договор ГПХ (водитель) на сумму 185,3 тыс. рублей).</w:t>
            </w:r>
          </w:p>
          <w:p w:rsidR="00075227" w:rsidRPr="00075227" w:rsidRDefault="00075227" w:rsidP="000752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75227" w:rsidRPr="00075227" w:rsidRDefault="00E95807" w:rsidP="00E9580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075227"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0203 «Национальная оборона»</w:t>
            </w:r>
          </w:p>
          <w:p w:rsidR="00075227" w:rsidRPr="00075227" w:rsidRDefault="00075227" w:rsidP="0007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данному разделу произошло увеличение расходов на 7,2 тыс. рублей (увеличение заработной платы на 5,1 тыс. рублей).</w:t>
            </w:r>
          </w:p>
          <w:p w:rsidR="00075227" w:rsidRPr="00075227" w:rsidRDefault="00075227" w:rsidP="0007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E95807" w:rsidP="000752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75227"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0309 «Национальная безопасность и правоохранительная деятельность»</w:t>
            </w:r>
          </w:p>
          <w:p w:rsidR="00075227" w:rsidRPr="00075227" w:rsidRDefault="00075227" w:rsidP="0007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разделу произошло увеличение расходов на 3,8 тыс. рублей (страховка добровольцев). </w:t>
            </w:r>
          </w:p>
          <w:p w:rsidR="00075227" w:rsidRPr="00075227" w:rsidRDefault="00075227" w:rsidP="0007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0503 «Жилищно-коммунальное хозяйство»</w:t>
            </w:r>
          </w:p>
          <w:p w:rsidR="00E95807" w:rsidRDefault="00E9580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данному разделу произошло уменьшение расходов на 560,4 тыс. рублей (произошло уменьшение на сумму 164,2 тыс. руб. заключенных договоров ГПХ; уменьшение потребности ГСМ на сумму 106,5 тыс. рублей; уменьшение поставки строительных и хозяйственных товаров на сумму 198,1 тыс.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 прочие расходы на выполнение</w:t>
            </w: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оказание услуг на сумму 70,0 тыс. рублей; в 2019г. было приобретение мотопомпы на сумму 11,6 тыс. рублей; в 2019г. были </w:t>
            </w:r>
            <w:r w:rsidRPr="0007522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содержанию мест захоронений на территории СМО на сумму 10,0 тыс. рублей</w:t>
            </w: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75227" w:rsidRPr="00075227" w:rsidRDefault="00075227" w:rsidP="00075227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</w:t>
            </w:r>
          </w:p>
          <w:p w:rsidR="00075227" w:rsidRPr="00075227" w:rsidRDefault="00E95807" w:rsidP="00E95807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075227"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 0801</w:t>
            </w:r>
            <w:proofErr w:type="gramEnd"/>
            <w:r w:rsidR="00075227" w:rsidRPr="0007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«Культура»</w:t>
            </w:r>
          </w:p>
          <w:p w:rsidR="00E95807" w:rsidRDefault="00E9580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данному разделу произошло увеличение расходов на 670,5 тыс. рублей (увеличение в связи с заключением соглашения от 11.02.2020г. на сумму 950,0 тыс. рублей; увеличение в связи проведение газа на мемориале «Вечный огонь» на сумму 101,7 тыс. рублей; уменьшение в связи с оплатой ПСД на сумму 242,0 тыс. рублей в 2019г.; уменьшение в связи с межбюджетных трансфертов на сумму 139,2 тыс. рублей (заработная плата работника культуры)).</w:t>
            </w:r>
          </w:p>
          <w:p w:rsid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807" w:rsidRDefault="00E9580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5807" w:rsidRDefault="00E9580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Источники финансирования дефицита муниципального бюджета 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right="4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Песчаного сельского муниципального образования Республики Калмыкия по источникам финансирования: дефицит бюджета за 2020 года составил 122,6 тыс.  рублей.</w:t>
            </w:r>
          </w:p>
          <w:p w:rsidR="00075227" w:rsidRPr="00075227" w:rsidRDefault="00075227" w:rsidP="00075227">
            <w:pPr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денежных средств по состоянию на 01.01.2021 года по бюджету Песчаного СМО РК составляли 499,8 тыс. рублей.</w:t>
            </w:r>
          </w:p>
          <w:p w:rsidR="00075227" w:rsidRPr="00075227" w:rsidRDefault="00075227" w:rsidP="0007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Штатная численность Песчаного сельского муниципального образования Республики Калмыкия</w:t>
            </w:r>
          </w:p>
          <w:p w:rsidR="00075227" w:rsidRPr="00075227" w:rsidRDefault="00075227" w:rsidP="000752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01 января 2021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      </w:r>
          </w:p>
          <w:p w:rsidR="00075227" w:rsidRPr="00075227" w:rsidRDefault="00075227" w:rsidP="00075227">
            <w:pPr>
              <w:keepNext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разделу 0200 «Национальная оборона» штатная </w:t>
            </w:r>
            <w:r w:rsidR="00E95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составляет 1 штатная единица</w:t>
            </w: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5227" w:rsidRPr="00075227" w:rsidRDefault="00075227" w:rsidP="00075227">
            <w:pPr>
              <w:keepNext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разделу 0800 «Культура и кинематография» числится 1 учреждение: </w:t>
            </w:r>
          </w:p>
          <w:p w:rsidR="00075227" w:rsidRPr="00075227" w:rsidRDefault="00075227" w:rsidP="0007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СДК            </w:t>
            </w:r>
            <w:r w:rsidR="00E9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       1 единица.</w:t>
            </w:r>
          </w:p>
          <w:p w:rsidR="00075227" w:rsidRDefault="00E95807" w:rsidP="00E9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75227"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содержание муниципальных служащих за </w:t>
            </w:r>
            <w:r w:rsidR="00075227" w:rsidRPr="0007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квартал </w:t>
            </w:r>
            <w:r w:rsidR="00075227" w:rsidRPr="0007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 составили в сумме 762,9 тыс. рублей.</w:t>
            </w:r>
          </w:p>
          <w:p w:rsidR="00075227" w:rsidRPr="00160EBC" w:rsidRDefault="00E95807" w:rsidP="00E95807">
            <w:pPr>
              <w:widowControl w:val="0"/>
              <w:spacing w:after="0" w:line="24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Контрольно-ревизионная комиссия счит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ает </w:t>
            </w:r>
            <w:r w:rsidRPr="00E95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возможным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рассмотреть отчет </w:t>
            </w:r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«Об </w:t>
            </w:r>
            <w:proofErr w:type="gramStart"/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исполнении  муниципального</w:t>
            </w:r>
            <w:proofErr w:type="gramEnd"/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бюджета </w:t>
            </w:r>
            <w:r w:rsidR="00CA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Песчаного</w:t>
            </w:r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муниципального образования Республики Калмыкия за 2020 год, предусмотрев следующие рекомендации:</w:t>
            </w:r>
          </w:p>
          <w:p w:rsidR="00075227" w:rsidRPr="00160EBC" w:rsidRDefault="00E95807" w:rsidP="00E95807">
            <w:pPr>
              <w:widowControl w:val="0"/>
              <w:tabs>
                <w:tab w:val="left" w:pos="977"/>
              </w:tabs>
              <w:spacing w:after="0" w:line="240" w:lineRule="auto"/>
              <w:ind w:right="620" w:hanging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С целью пополнения доходной части бюджета в 2021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      </w:r>
          </w:p>
          <w:p w:rsidR="00075227" w:rsidRPr="00160EBC" w:rsidRDefault="00E95807" w:rsidP="00E95807">
            <w:pPr>
              <w:widowControl w:val="0"/>
              <w:tabs>
                <w:tab w:val="left" w:pos="994"/>
              </w:tabs>
              <w:spacing w:after="0" w:line="240" w:lineRule="auto"/>
              <w:ind w:hanging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075227" w:rsidRPr="00160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Повысить эффективность расходования бюджетных средств</w:t>
            </w:r>
          </w:p>
          <w:p w:rsidR="00075227" w:rsidRPr="00160EBC" w:rsidRDefault="00075227" w:rsidP="00E95807">
            <w:pPr>
              <w:spacing w:after="0" w:line="240" w:lineRule="auto"/>
              <w:ind w:right="45"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Pr="0016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Pr="0016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Основные параметры бюджета </w:t>
            </w:r>
            <w:r w:rsidR="00CA5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Песчаного</w:t>
            </w:r>
            <w:r w:rsidRPr="0016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      </w:r>
            <w:r w:rsidR="00CA5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Песчаного</w:t>
            </w:r>
            <w:r w:rsidRPr="0016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муниципального образования Республики Калмыкия утвердить отчет «Об исполнении муниципального бюджета </w:t>
            </w:r>
            <w:r w:rsidR="00CA5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Песчаного</w:t>
            </w:r>
            <w:r w:rsidRPr="0016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муниципального образования Республики Калмыкия за 2020 год».</w:t>
            </w:r>
          </w:p>
          <w:p w:rsidR="00075227" w:rsidRPr="00160EBC" w:rsidRDefault="00075227" w:rsidP="00E95807">
            <w:pPr>
              <w:spacing w:after="0" w:line="240" w:lineRule="auto"/>
              <w:ind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160EBC" w:rsidRDefault="00075227" w:rsidP="0007522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Председатель Контрольно-ревизионной </w:t>
            </w:r>
          </w:p>
          <w:p w:rsidR="00075227" w:rsidRPr="00160EBC" w:rsidRDefault="00075227" w:rsidP="0007522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комиссии </w:t>
            </w:r>
            <w:proofErr w:type="spellStart"/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Приютненского</w:t>
            </w:r>
            <w:proofErr w:type="spellEnd"/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РМО РК                                         </w:t>
            </w:r>
            <w:proofErr w:type="spellStart"/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О.Н.Кушнарева</w:t>
            </w:r>
            <w:proofErr w:type="spellEnd"/>
            <w:r w:rsidRPr="00160EB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         </w:t>
            </w:r>
          </w:p>
          <w:p w:rsidR="00075227" w:rsidRPr="00160EBC" w:rsidRDefault="00075227" w:rsidP="0007522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75227" w:rsidRPr="00160EBC" w:rsidRDefault="00075227" w:rsidP="0007522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227" w:rsidRPr="00075227" w:rsidRDefault="00075227" w:rsidP="0007522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27" w:rsidRPr="00E44C8B" w:rsidRDefault="00075227" w:rsidP="00E44C8B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E44C8B" w:rsidRDefault="00E44C8B" w:rsidP="00E44C8B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E3D" w:rsidRPr="00041E3D" w:rsidRDefault="00041E3D" w:rsidP="0004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3D" w:rsidRPr="00041E3D" w:rsidRDefault="00041E3D" w:rsidP="0004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3D" w:rsidRPr="00041E3D" w:rsidRDefault="00041E3D" w:rsidP="0004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E3D" w:rsidRPr="00041E3D" w:rsidRDefault="00041E3D" w:rsidP="0004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E3D" w:rsidRPr="00041E3D" w:rsidRDefault="00041E3D" w:rsidP="0004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D2E" w:rsidRDefault="00815D2E" w:rsidP="006B39FD"/>
    <w:sectPr w:rsidR="00815D2E" w:rsidSect="0039772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6F"/>
    <w:rsid w:val="00002322"/>
    <w:rsid w:val="00041E3D"/>
    <w:rsid w:val="00043596"/>
    <w:rsid w:val="00075227"/>
    <w:rsid w:val="000C1525"/>
    <w:rsid w:val="0039772D"/>
    <w:rsid w:val="0045706F"/>
    <w:rsid w:val="005B7381"/>
    <w:rsid w:val="005B76C2"/>
    <w:rsid w:val="006B39FD"/>
    <w:rsid w:val="00741D3D"/>
    <w:rsid w:val="007B50C1"/>
    <w:rsid w:val="00815D2E"/>
    <w:rsid w:val="008D586B"/>
    <w:rsid w:val="00C519B4"/>
    <w:rsid w:val="00CA59AB"/>
    <w:rsid w:val="00D562BD"/>
    <w:rsid w:val="00DF686E"/>
    <w:rsid w:val="00E42093"/>
    <w:rsid w:val="00E44C8B"/>
    <w:rsid w:val="00E95807"/>
    <w:rsid w:val="00F7449C"/>
    <w:rsid w:val="00F868DA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B3D"/>
  <w15:chartTrackingRefBased/>
  <w15:docId w15:val="{9BFAB4BE-010C-4B2A-AF01-C95491F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2021-03-30T11:42:00Z</dcterms:created>
  <dcterms:modified xsi:type="dcterms:W3CDTF">2021-03-31T08:37:00Z</dcterms:modified>
</cp:coreProperties>
</file>